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6" w:rsidRDefault="005951D6" w:rsidP="005951D6">
      <w:pPr>
        <w:shd w:val="clear" w:color="auto" w:fill="FFFFFF"/>
        <w:spacing w:before="105" w:after="150" w:line="33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Обґрунтування необхідності встановлення тарифів на послуги централізованого водопостачання та водовідведення на 2026р.</w:t>
      </w:r>
    </w:p>
    <w:p w:rsidR="005951D6" w:rsidRPr="00E67CA3" w:rsidRDefault="005951D6" w:rsidP="005951D6">
      <w:pPr>
        <w:shd w:val="clear" w:color="auto" w:fill="FFFFFF"/>
        <w:spacing w:after="0" w:line="360" w:lineRule="auto"/>
        <w:ind w:firstLine="225"/>
        <w:jc w:val="both"/>
        <w:rPr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 xml:space="preserve">         Законами України «Про житлово-комунальні послуги», «Про ціни і ціноутворення», «Про питну воду та питне водопостачання», «Про державне регулювання в сфері комунальних послуг», постановою Кабінету Міністрів України від 01.06.2011 № 869 «Про забезпечення єдиного підходу до формування тарифів на житлово-комунальні послуги» для суб’єктів природних монополій та суб’єктів господарювання, що провадять діяльність на суміжних ринках», передбачено встановлення економічно обґрунтованих тарифів на комунальні послуги на рівні, що буде покривати всі витрати в собівартості цих послуг. </w:t>
      </w:r>
    </w:p>
    <w:p w:rsidR="005951D6" w:rsidRPr="00E67CA3" w:rsidRDefault="005951D6" w:rsidP="005951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На сьогодні в місті діють тарифи</w:t>
      </w: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централізоване водопостачання та водовідведення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згідно рішення виконавчого комітету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Славутської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від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20.03.2025р. №77</w:t>
      </w:r>
      <w:r w:rsidRPr="00E67C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«Про встановлення коригованих тарифів на послуги з централізованого водопостачання та централізованого водовідведення 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»  затвердити тарифи :  </w:t>
      </w:r>
    </w:p>
    <w:p w:rsidR="005951D6" w:rsidRPr="00E67CA3" w:rsidRDefault="005951D6" w:rsidP="005951D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 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34,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70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.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</w:t>
      </w:r>
    </w:p>
    <w:p w:rsidR="005951D6" w:rsidRPr="00E67CA3" w:rsidRDefault="005951D6" w:rsidP="005951D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41,64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ПДВ);                                             </w:t>
      </w:r>
    </w:p>
    <w:p w:rsidR="005951D6" w:rsidRPr="00E67CA3" w:rsidRDefault="005951D6" w:rsidP="005951D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31,59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куб.м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</w:t>
      </w:r>
    </w:p>
    <w:p w:rsidR="005951D6" w:rsidRPr="00E67CA3" w:rsidRDefault="005951D6" w:rsidP="005951D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37,91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ПДВ).    </w:t>
      </w:r>
    </w:p>
    <w:p w:rsidR="005951D6" w:rsidRPr="00E67CA3" w:rsidRDefault="005951D6" w:rsidP="005951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</w:pPr>
      <w:r w:rsidRPr="00E67C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</w:t>
      </w:r>
      <w:r w:rsidRPr="00E67C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zh-CN"/>
        </w:rPr>
        <w:t>Для категорії споживачів «населення»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 застосовувати тариф на послуги з централізованого водопостачання та централізованого водовідведення на рівні тарифів, що встановлені рішенням виконавчого комі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тету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>Славутської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 міської ради №441 від 09.12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>4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 року, а саме: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</w:p>
    <w:p w:rsidR="005951D6" w:rsidRPr="00E67CA3" w:rsidRDefault="005951D6" w:rsidP="005951D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27,32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.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</w:t>
      </w:r>
    </w:p>
    <w:p w:rsidR="005951D6" w:rsidRPr="00E67CA3" w:rsidRDefault="005951D6" w:rsidP="005951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32,78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ПДВ);                                             </w:t>
      </w:r>
    </w:p>
    <w:p w:rsidR="005951D6" w:rsidRPr="00E67CA3" w:rsidRDefault="005951D6" w:rsidP="005951D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21,84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куб.м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ПДВ);</w:t>
      </w:r>
    </w:p>
    <w:p w:rsidR="005951D6" w:rsidRPr="00E67CA3" w:rsidRDefault="005951D6" w:rsidP="005951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26,21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        </w:t>
      </w:r>
    </w:p>
    <w:p w:rsidR="005951D6" w:rsidRDefault="005951D6" w:rsidP="005951D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Рівень відшкодування середньозваженим тарифом становить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93,08</w:t>
      </w: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% фактичної собівартості послуг по водопостачанню, а по водовідведенню 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79,30</w:t>
      </w: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%.</w:t>
      </w:r>
    </w:p>
    <w:p w:rsidR="005951D6" w:rsidRPr="00CB3853" w:rsidRDefault="005951D6" w:rsidP="005951D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Розрахунок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тарифів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був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здійснений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відповідно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до Постанови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Кабінету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Міні</w:t>
      </w:r>
      <w:proofErr w:type="gram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стр</w:t>
      </w:r>
      <w:proofErr w:type="gram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ів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України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 № 869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від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01.06.2011 «Про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забезпечення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єдиного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підходу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до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формування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тарифів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на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житлово-комунальні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послуги</w:t>
      </w:r>
      <w:proofErr w:type="spellEnd"/>
      <w:r w:rsidRPr="00CB385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».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Основні чинники, які вплинули на зміну вартості послуг з централізованого водопостачання та централізованого водовідведення: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1. змінилися обсяги реалізації, що враховані в діючих тарифах: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-   зменшилися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26,4 тис. мᶾ  (2,8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%) з централізованого водопостачання,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-  зменшилися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25,4 тис. мᶾ (3,5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%) з централізованого водовідведення.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Це обумовлюється  встановленням споживачами розподільчих засобів обліку, що  спонукає їх  до економного використання води. На зменшення обсягів реалізації значно 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lastRenderedPageBreak/>
        <w:t>впливає військова агресія багато споживачів вимушено покинули власні домівки і виїхали у безпечні місця.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Через складну економічну ситуацію та військовий стан у країні, і  великі підприємства і представники малого та середнього бізнесу взагалі скорочують свою діяльність, а то і припиняють її.</w:t>
      </w:r>
    </w:p>
    <w:p w:rsidR="005951D6" w:rsidRPr="00E67CA3" w:rsidRDefault="005951D6" w:rsidP="005951D6">
      <w:pPr>
        <w:spacing w:after="0" w:line="360" w:lineRule="auto"/>
        <w:jc w:val="both"/>
        <w:rPr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2.  витрати з електричної енергії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тарифі на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урахуванням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цін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 на рівні 8,53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грн. без ПДВ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, а саме:</w:t>
      </w:r>
      <w:r w:rsidRPr="00E67CA3">
        <w:rPr>
          <w:color w:val="000000" w:themeColor="text1"/>
          <w:sz w:val="24"/>
          <w:szCs w:val="24"/>
          <w:lang w:val="uk-UA"/>
        </w:rPr>
        <w:t xml:space="preserve">             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- з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меншилися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3 830,22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тис. грн або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27,7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% з  централізованого водопостачання,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- зменшилися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1 131,6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тис. грн або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13,3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% з централізованого водовідведення.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Зменшення обсягів очікується завдяки впровадженню енергоефективних заходів. </w:t>
      </w:r>
    </w:p>
    <w:p w:rsidR="005951D6" w:rsidRPr="00E67CA3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Ураховані обсяги споживання електричної енергії не перевищують обсяги, що розраховані відповідно до норм питомих витрат паливно-енергетичних ресурсів.</w:t>
      </w:r>
    </w:p>
    <w:p w:rsidR="005951D6" w:rsidRPr="00E67CA3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Питома вага електричної енергії у структурі тарифу становить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30,3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%.</w:t>
      </w:r>
    </w:p>
    <w:p w:rsidR="005951D6" w:rsidRPr="00E67CA3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3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 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Витрати на оплату праці та відрахування на соціальні заходи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зросли на 16,4%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5951D6" w:rsidRPr="00E67CA3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 Фонд оплати праці в планових витратах включає в себе виплати з основної та додаткової заробітної плати, розрахованої на основі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постанови Кабінетів Міністрів  «Про схвалення Бюджетної декларації на 2026-2028 роки» від 27.06.2025р. №774 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 дотриманням норм чинної Галузевої угоди.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</w:p>
    <w:p w:rsidR="005951D6" w:rsidRPr="00EC6559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C6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Відповідно витрати на відрахування на соціальні заходи нараховані </w:t>
      </w:r>
      <w:proofErr w:type="spellStart"/>
      <w:r w:rsidRPr="00EC6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пропорційно</w:t>
      </w:r>
      <w:proofErr w:type="spellEnd"/>
      <w:r w:rsidRPr="00EC6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витратам на оплату праці.</w:t>
      </w:r>
    </w:p>
    <w:p w:rsidR="005951D6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</w:t>
      </w:r>
      <w:r w:rsidRPr="00EC6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Фонд на оплату праці працівни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ків у структурі тарифу складає</w:t>
      </w:r>
      <w:r w:rsidRPr="00EC655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E65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51,7%.</w:t>
      </w:r>
    </w:p>
    <w:p w:rsidR="005951D6" w:rsidRPr="009F7522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4</w:t>
      </w:r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 збільшення амортизаційних відрахувань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497,2 </w:t>
      </w:r>
      <w:proofErr w:type="spellStart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тис.грн</w:t>
      </w:r>
      <w:proofErr w:type="spellEnd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 </w:t>
      </w:r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 </w:t>
      </w:r>
      <w:proofErr w:type="spellStart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рахунок</w:t>
      </w:r>
      <w:proofErr w:type="spellEnd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оновлення</w:t>
      </w:r>
      <w:proofErr w:type="spellEnd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основних</w:t>
      </w:r>
      <w:proofErr w:type="spellEnd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засобів</w:t>
      </w:r>
      <w:proofErr w:type="spellEnd"/>
      <w:r w:rsidRPr="009F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. Питома вага у структурі тарифу становить 1,3%.</w:t>
      </w:r>
    </w:p>
    <w:p w:rsidR="005951D6" w:rsidRPr="00181622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5</w:t>
      </w:r>
      <w:r w:rsidRPr="00A219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 </w:t>
      </w:r>
      <w:r w:rsidRPr="00181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витрати, пов’язані зі сплатою податків, зборів та інших, передбачених законодавством, обов’язкових платежів </w:t>
      </w:r>
      <w:r w:rsidRPr="00181622">
        <w:rPr>
          <w:rFonts w:ascii="Times New Roman" w:hAnsi="Times New Roman" w:cs="Times New Roman"/>
          <w:color w:val="000000" w:themeColor="text1"/>
          <w:sz w:val="24"/>
          <w:szCs w:val="24"/>
          <w:lang w:val="uk-UA" w:bidi="uk-UA"/>
        </w:rPr>
        <w:t>розраховані</w:t>
      </w:r>
      <w:r w:rsidRPr="001816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Pr="0018162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відповідно до Податкового кодексу</w:t>
      </w:r>
      <w:r w:rsidRPr="001816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Питома вага їх у структурі тарифів </w:t>
      </w:r>
      <w:r w:rsidRPr="002E652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становить 1,8 %.</w:t>
      </w:r>
    </w:p>
    <w:p w:rsidR="005951D6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8C27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прямі</w:t>
      </w:r>
      <w:r w:rsidRPr="008C27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матеріальні витрати, запасні частини та інші матеріальні ресурси розраховані на основі фактичних витрат за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8C27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р. з урахуванням індексу цін виробників промислової продукції.</w:t>
      </w:r>
      <w:r w:rsidRPr="001B74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C27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інших </w:t>
      </w:r>
      <w:r w:rsidRPr="008C27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прямих матеріальних витрати (ремонти) включені також матеріальні витрати згідно графіку планово-попереджувальних робіт. </w:t>
      </w:r>
      <w:r w:rsidRPr="001B744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Ма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теріальні витрати зросли на 27,4</w:t>
      </w:r>
      <w:r w:rsidRPr="001B744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%, за рахунок збільшення ціни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на </w:t>
      </w:r>
      <w:r w:rsidRPr="001B744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спецодяг, запчастини, матеріали </w:t>
      </w:r>
      <w:r w:rsidRPr="001B744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r w:rsidRPr="001B7442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та інші матеріальні ресурси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. </w:t>
      </w:r>
    </w:p>
    <w:p w:rsidR="005951D6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          </w:t>
      </w:r>
      <w:r w:rsidRPr="008C271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Ціни на паливо-мастильні матеріали розраховувались на основі фактичних цін з урахуванням індексу цін виробників промислової продукції. </w:t>
      </w:r>
      <w:r w:rsidRPr="00520C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 xml:space="preserve">Загальні витрати паливо-мастильних матеріалів збільшились на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8,7</w:t>
      </w:r>
      <w:r w:rsidRPr="00520C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uk-UA"/>
        </w:rPr>
        <w:t>% .</w:t>
      </w:r>
    </w:p>
    <w:p w:rsidR="005951D6" w:rsidRDefault="005951D6" w:rsidP="005951D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        Збільшення інших витрат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пов’язані з підвищенням вартості витрат пов’язаних із забезпеченням належного стану обладнання, послуг зв’язку, банківських послуги, витрат на утримання виробничих та службових приміщень, опалення приміщень та інших послуг сторонніх організацій.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</w:p>
    <w:p w:rsidR="005951D6" w:rsidRPr="00E67CA3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До складу тарифів не включались витрати, що не мають відношення до їх надання: суми безнадійної дебіторської заборгованості і відрахувань до резерву сумнівних боргів, визначені штрафи, пені.</w:t>
      </w:r>
    </w:p>
    <w:p w:rsidR="005951D6" w:rsidRPr="00E67CA3" w:rsidRDefault="005951D6" w:rsidP="005951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До тарифів на централізоване водопостачання та централізоване водовідведення включається плановий прибуток відповідно до  постанови Кабінету Міністрів України від 01.06.2011р. № 869 «Порядок формування тарифів на централізоване водопостачання та централізоване водовідведення» ( в чинній редакції)  на обігові кошти (2%),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що не перевищують 4 відсотків повної планованої собівартості централізованого водопостачання та централізованого водовідведення.</w:t>
      </w:r>
    </w:p>
    <w:p w:rsidR="005951D6" w:rsidRPr="00E67CA3" w:rsidRDefault="005951D6" w:rsidP="00595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Згідно з поданими розрахунками плановий тариф становитиме:</w:t>
      </w:r>
    </w:p>
    <w:p w:rsidR="005951D6" w:rsidRPr="00E67CA3" w:rsidRDefault="005951D6" w:rsidP="005951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50"/>
        <w:gridCol w:w="2047"/>
        <w:gridCol w:w="1473"/>
        <w:gridCol w:w="1953"/>
      </w:tblGrid>
      <w:tr w:rsidR="005951D6" w:rsidRPr="00E67CA3" w:rsidTr="0005594C">
        <w:tc>
          <w:tcPr>
            <w:tcW w:w="2122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750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Чинний тариф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="004042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ПДВ призупинений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для населення)</w:t>
            </w:r>
          </w:p>
        </w:tc>
        <w:tc>
          <w:tcPr>
            <w:tcW w:w="2047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Плановий тариф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 ПДВ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73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Збільшення, грн</w:t>
            </w:r>
          </w:p>
        </w:tc>
        <w:tc>
          <w:tcPr>
            <w:tcW w:w="1953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Збільшення, %</w:t>
            </w:r>
          </w:p>
        </w:tc>
      </w:tr>
      <w:tr w:rsidR="005951D6" w:rsidRPr="00E67CA3" w:rsidTr="0005594C">
        <w:tc>
          <w:tcPr>
            <w:tcW w:w="2122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Централізоване водопостачання</w:t>
            </w:r>
          </w:p>
        </w:tc>
        <w:tc>
          <w:tcPr>
            <w:tcW w:w="1750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41,64</w:t>
            </w:r>
          </w:p>
        </w:tc>
        <w:tc>
          <w:tcPr>
            <w:tcW w:w="2047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41,71</w:t>
            </w:r>
          </w:p>
        </w:tc>
        <w:tc>
          <w:tcPr>
            <w:tcW w:w="1473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953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0,2</w:t>
            </w:r>
          </w:p>
        </w:tc>
      </w:tr>
      <w:tr w:rsidR="005951D6" w:rsidRPr="00E67CA3" w:rsidTr="0005594C">
        <w:tc>
          <w:tcPr>
            <w:tcW w:w="2122" w:type="dxa"/>
          </w:tcPr>
          <w:p w:rsidR="005951D6" w:rsidRPr="00E67CA3" w:rsidRDefault="005951D6" w:rsidP="0005594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Централізоване водовідведення</w:t>
            </w:r>
          </w:p>
        </w:tc>
        <w:tc>
          <w:tcPr>
            <w:tcW w:w="1750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37,91</w:t>
            </w:r>
          </w:p>
        </w:tc>
        <w:tc>
          <w:tcPr>
            <w:tcW w:w="2047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43,54</w:t>
            </w:r>
          </w:p>
        </w:tc>
        <w:tc>
          <w:tcPr>
            <w:tcW w:w="1473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5,63</w:t>
            </w:r>
          </w:p>
        </w:tc>
        <w:tc>
          <w:tcPr>
            <w:tcW w:w="1953" w:type="dxa"/>
          </w:tcPr>
          <w:p w:rsidR="005951D6" w:rsidRPr="00E67CA3" w:rsidRDefault="005951D6" w:rsidP="0005594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14,9</w:t>
            </w:r>
          </w:p>
        </w:tc>
      </w:tr>
    </w:tbl>
    <w:p w:rsidR="005951D6" w:rsidRDefault="005951D6" w:rsidP="005951D6">
      <w:pPr>
        <w:spacing w:after="0" w:line="240" w:lineRule="auto"/>
        <w:jc w:val="both"/>
        <w:rPr>
          <w:color w:val="000000" w:themeColor="text1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val="uk-UA"/>
        </w:rPr>
        <w:t xml:space="preserve">     </w:t>
      </w:r>
      <w:r w:rsidRPr="00E67CA3">
        <w:rPr>
          <w:color w:val="000000" w:themeColor="text1"/>
          <w:lang w:val="uk-UA"/>
        </w:rPr>
        <w:t xml:space="preserve">  </w:t>
      </w:r>
    </w:p>
    <w:p w:rsidR="005951D6" w:rsidRPr="00E67CA3" w:rsidRDefault="005951D6" w:rsidP="005951D6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lang w:val="uk-UA"/>
        </w:rPr>
      </w:pPr>
      <w:r w:rsidRPr="00E67CA3">
        <w:rPr>
          <w:color w:val="000000" w:themeColor="text1"/>
          <w:lang w:val="uk-UA"/>
        </w:rPr>
        <w:t xml:space="preserve">     </w:t>
      </w:r>
      <w:r>
        <w:rPr>
          <w:color w:val="000000" w:themeColor="text1"/>
          <w:lang w:val="uk-UA"/>
        </w:rPr>
        <w:t xml:space="preserve">      </w:t>
      </w:r>
      <w:r w:rsidRPr="00E67CA3">
        <w:rPr>
          <w:color w:val="000000" w:themeColor="text1"/>
          <w:lang w:val="uk-UA"/>
        </w:rPr>
        <w:t xml:space="preserve">Підвищення тарифів на послуги та доведення їх рівня до економічно обґрунтованих витрат на виробництво послуг дозволить забезпечення стабільну роботу систем водопостачання і водовідведення, здійснювати своєчасні розрахунки за електроенергію, реагенти та інші необхідні матеріали, своєчасну оплату податків та зборів, виплату заробітної плати, встановленої відповідно до законодавчих норм і гарантій, виконувати інші платежі за договірними зобов’язаннями, дозволить не допускати нарахування штрафних санкцій у зв'язку з несвоєчасним виконанням зобов’язань як по сплаті податків та зборів, так і по інших необхідних </w:t>
      </w:r>
      <w:proofErr w:type="spellStart"/>
      <w:r w:rsidRPr="00E67CA3">
        <w:rPr>
          <w:color w:val="000000" w:themeColor="text1"/>
          <w:lang w:val="uk-UA"/>
        </w:rPr>
        <w:t>платежах</w:t>
      </w:r>
      <w:proofErr w:type="spellEnd"/>
      <w:r w:rsidRPr="00E67CA3">
        <w:rPr>
          <w:color w:val="000000" w:themeColor="text1"/>
          <w:lang w:val="uk-UA"/>
        </w:rPr>
        <w:t xml:space="preserve"> . </w:t>
      </w:r>
    </w:p>
    <w:p w:rsidR="005951D6" w:rsidRDefault="005951D6" w:rsidP="005951D6">
      <w:pPr>
        <w:shd w:val="clear" w:color="auto" w:fill="FFFFFF"/>
        <w:spacing w:before="105" w:after="0" w:line="360" w:lineRule="auto"/>
        <w:ind w:firstLine="2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разі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будуть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покривати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економічно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обґрунтовані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витрати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собівартості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цих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внаслідок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чого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ідприємство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отримує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збитки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не буде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спроможнім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ефективно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свою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господарську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діяльність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</w:p>
    <w:p w:rsidR="005951D6" w:rsidRDefault="005951D6" w:rsidP="005951D6">
      <w:pPr>
        <w:shd w:val="clear" w:color="auto" w:fill="FFFFFF"/>
        <w:spacing w:before="105" w:after="0" w:line="360" w:lineRule="auto"/>
        <w:ind w:firstLine="22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</w:p>
    <w:p w:rsidR="005951D6" w:rsidRPr="00873C5B" w:rsidRDefault="005951D6" w:rsidP="005951D6">
      <w:pPr>
        <w:shd w:val="clear" w:color="auto" w:fill="FFFFFF"/>
        <w:spacing w:before="105" w:after="0" w:line="360" w:lineRule="auto"/>
        <w:ind w:firstLine="22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</w:t>
      </w:r>
    </w:p>
    <w:p w:rsidR="00DA3B90" w:rsidRPr="005951D6" w:rsidRDefault="00DA3B90">
      <w:pPr>
        <w:rPr>
          <w:lang w:val="uk-UA"/>
        </w:rPr>
      </w:pPr>
    </w:p>
    <w:sectPr w:rsidR="00DA3B90" w:rsidRPr="005951D6" w:rsidSect="00083451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929"/>
    <w:multiLevelType w:val="multilevel"/>
    <w:tmpl w:val="2BE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2"/>
    <w:rsid w:val="00083451"/>
    <w:rsid w:val="00270337"/>
    <w:rsid w:val="004042B8"/>
    <w:rsid w:val="005951D6"/>
    <w:rsid w:val="00CC3B52"/>
    <w:rsid w:val="00D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2025-09-29T10:34:00Z</dcterms:created>
  <dcterms:modified xsi:type="dcterms:W3CDTF">2025-09-29T10:54:00Z</dcterms:modified>
</cp:coreProperties>
</file>