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7933E82E" w:rsidR="00B97044" w:rsidRPr="00B97044" w:rsidRDefault="00E365DD" w:rsidP="00B97044">
            <w:pPr>
              <w:jc w:val="both"/>
              <w:rPr>
                <w:b/>
                <w:bCs/>
              </w:rPr>
            </w:pPr>
            <w:r w:rsidRPr="00CC2C59">
              <w:rPr>
                <w:b/>
              </w:rPr>
              <w:t>Послуги з виготовлення та встановлення металопластикових вікон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19FE7356" w:rsidR="00B97044" w:rsidRPr="00E365DD" w:rsidRDefault="00E365DD" w:rsidP="00C4374A">
            <w:pPr>
              <w:jc w:val="both"/>
              <w:rPr>
                <w:bCs/>
                <w:lang w:val="uk-UA"/>
              </w:rPr>
            </w:pPr>
            <w:r w:rsidRPr="00E365DD">
              <w:rPr>
                <w:bCs/>
              </w:rPr>
              <w:t>45420000-7 Столярні та теслярські роботи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076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920"/>
                  </w:tblGrid>
                  <w:tr w:rsidR="00635824" w:rsidRPr="00635824" w14:paraId="49B701E5" w14:textId="77777777" w:rsidTr="0063582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3313F9" w14:textId="77777777" w:rsidR="00635824" w:rsidRPr="00635824" w:rsidRDefault="00635824" w:rsidP="0063582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764"/>
                        </w:tblGrid>
                        <w:tr w:rsidR="00FF3190" w:rsidRPr="00FF3190" w14:paraId="2A2631F0" w14:textId="77777777" w:rsidTr="00FF31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E17949" w14:textId="77777777" w:rsidR="00FF3190" w:rsidRPr="00FF3190" w:rsidRDefault="00FF3190" w:rsidP="00FF3190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608"/>
                              </w:tblGrid>
                              <w:tr w:rsidR="00E365DD" w:rsidRPr="00E365DD" w14:paraId="224292FF" w14:textId="77777777" w:rsidTr="00E365D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2AFE7F2" w14:textId="77777777" w:rsidR="00E365DD" w:rsidRPr="00E365DD" w:rsidRDefault="00E365DD" w:rsidP="00E365DD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161DC06" w14:textId="77777777" w:rsidR="00E365DD" w:rsidRPr="00E365DD" w:rsidRDefault="00E365DD" w:rsidP="00E365DD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  <w:hyperlink r:id="rId4" w:tgtFrame="_blank" w:tooltip="Оголошення на порталі Уповноваженого органу" w:history="1">
                                      <w:r w:rsidRPr="00E365DD">
                                        <w:rPr>
                                          <w:color w:val="0000FF"/>
                                          <w:u w:val="single"/>
                                          <w:lang w:val="uk-UA" w:eastAsia="uk-UA"/>
                                        </w:rPr>
                                        <w:t>UA-2021-03-25-007413-a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4F6C667" w14:textId="61018749" w:rsidR="00FF3190" w:rsidRPr="00FF3190" w:rsidRDefault="00FF3190" w:rsidP="00FF3190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47921185" w14:textId="3D960F9B" w:rsidR="00635824" w:rsidRPr="00635824" w:rsidRDefault="00635824" w:rsidP="00635824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3BC5EE2E" w14:textId="2B006518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6623BAAC" w:rsidR="00B97044" w:rsidRPr="00B97044" w:rsidRDefault="00E365DD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591775" w:rsidRPr="00FF3190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42CD4444" w14:textId="7FD005F7" w:rsidR="00E365DD" w:rsidRDefault="00FF3190" w:rsidP="00FF3190">
            <w:pPr>
              <w:spacing w:line="200" w:lineRule="atLeast"/>
              <w:jc w:val="both"/>
              <w:rPr>
                <w:lang w:val="uk-UA"/>
              </w:rPr>
            </w:pPr>
            <w:r w:rsidRPr="00635824">
              <w:rPr>
                <w:lang w:val="uk-UA"/>
              </w:rPr>
              <w:t xml:space="preserve">Технічні та якісні характеристики </w:t>
            </w:r>
            <w:r>
              <w:rPr>
                <w:lang w:val="uk-UA"/>
              </w:rPr>
              <w:t xml:space="preserve">предмету закупівлі </w:t>
            </w:r>
            <w:r w:rsidR="00E365DD">
              <w:rPr>
                <w:lang w:val="uk-UA"/>
              </w:rPr>
              <w:t>встновлені відповідно до:</w:t>
            </w:r>
          </w:p>
          <w:p w14:paraId="7B264002" w14:textId="2831B774" w:rsidR="00E365DD" w:rsidRPr="00E73150" w:rsidRDefault="00E365DD" w:rsidP="00E365DD">
            <w:pPr>
              <w:jc w:val="both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</w:t>
            </w:r>
            <w:r w:rsidRPr="00E73150">
              <w:rPr>
                <w:color w:val="333333"/>
                <w:lang w:val="uk-UA" w:eastAsia="uk-UA"/>
              </w:rPr>
              <w:t>В</w:t>
            </w:r>
            <w:r>
              <w:rPr>
                <w:color w:val="333333"/>
                <w:lang w:val="uk-UA" w:eastAsia="uk-UA"/>
              </w:rPr>
              <w:t>іконні конструкції</w:t>
            </w:r>
            <w:r w:rsidRPr="00E73150">
              <w:rPr>
                <w:color w:val="333333"/>
                <w:lang w:val="uk-UA" w:eastAsia="uk-UA"/>
              </w:rPr>
              <w:t xml:space="preserve"> мають відповідати вимогам 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ДСТУ Б В.2.6-15:2011 «Блоки віконні та дверні полівінілхлоридні. Загальні технічні вимоги» включно із Зміною №1 від 01.07.2013 згідно наказу №239 Міністерства регіонального розвитку, будівництва і житлово-комунального господарства від 12.06.2013</w:t>
            </w:r>
            <w:r w:rsidRPr="00E73150">
              <w:rPr>
                <w:color w:val="333333"/>
                <w:lang w:val="uk-UA" w:eastAsia="uk-UA"/>
              </w:rPr>
              <w:t>.</w:t>
            </w:r>
          </w:p>
          <w:p w14:paraId="0572994C" w14:textId="2F167C2F" w:rsidR="00E365DD" w:rsidRPr="00E73150" w:rsidRDefault="00E365DD" w:rsidP="00E365DD">
            <w:pPr>
              <w:shd w:val="clear" w:color="auto" w:fill="FCFEFF"/>
              <w:jc w:val="both"/>
              <w:textAlignment w:val="baseline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</w:t>
            </w:r>
            <w:r w:rsidRPr="00E73150">
              <w:rPr>
                <w:color w:val="333333"/>
                <w:lang w:val="uk-UA" w:eastAsia="uk-UA"/>
              </w:rPr>
              <w:t>Профілі</w:t>
            </w:r>
            <w:r w:rsidRPr="00651FFF">
              <w:rPr>
                <w:color w:val="333333"/>
                <w:lang w:val="uk-UA" w:eastAsia="uk-UA"/>
              </w:rPr>
              <w:t xml:space="preserve"> </w:t>
            </w:r>
            <w:r w:rsidRPr="00E73150">
              <w:rPr>
                <w:color w:val="333333"/>
                <w:lang w:val="uk-UA" w:eastAsia="uk-UA"/>
              </w:rPr>
              <w:t>ПВХ мають відповідати вимогам</w:t>
            </w:r>
            <w:r w:rsidRPr="00651FFF">
              <w:rPr>
                <w:color w:val="333333"/>
                <w:lang w:val="uk-UA" w:eastAsia="uk-UA"/>
              </w:rPr>
              <w:t xml:space="preserve"> 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ДСТУ Б В.2.7-130 «Профілі полівінілхлоридні для огороджувальних будівельних конструкцій. Загальні технічні умови»</w:t>
            </w:r>
            <w:r w:rsidRPr="00E73150">
              <w:rPr>
                <w:color w:val="333333"/>
                <w:lang w:val="uk-UA" w:eastAsia="uk-UA"/>
              </w:rPr>
              <w:t>, геометричні, фізико-механічні та інші показники (підтверджено сертифікатом відповідності з посиланням на протоколи випробувань та висновками державного санітарно-епідеміологічного нагляду).</w:t>
            </w:r>
          </w:p>
          <w:p w14:paraId="1068BF7D" w14:textId="77777777" w:rsidR="00E365DD" w:rsidRDefault="00E365DD" w:rsidP="00E365DD">
            <w:pPr>
              <w:shd w:val="clear" w:color="auto" w:fill="FCFEFF"/>
              <w:jc w:val="both"/>
              <w:textAlignment w:val="baseline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</w:t>
            </w:r>
            <w:r w:rsidRPr="00E73150">
              <w:rPr>
                <w:color w:val="333333"/>
                <w:lang w:val="uk-UA" w:eastAsia="uk-UA"/>
              </w:rPr>
              <w:t>Ущільнювачі мають відповідати вимогам</w:t>
            </w:r>
            <w:r w:rsidRPr="00651FFF">
              <w:rPr>
                <w:color w:val="333333"/>
                <w:lang w:val="uk-UA" w:eastAsia="uk-UA"/>
              </w:rPr>
              <w:t xml:space="preserve"> 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ДСТУ</w:t>
            </w:r>
            <w:r w:rsidRPr="00651FFF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 xml:space="preserve"> 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Б</w:t>
            </w:r>
            <w:r w:rsidRPr="00651FFF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 xml:space="preserve"> 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В.2.7-242:2010</w:t>
            </w:r>
            <w:r w:rsidRPr="00651FFF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 xml:space="preserve"> </w:t>
            </w:r>
            <w:r w:rsidRPr="00E73150">
              <w:rPr>
                <w:color w:val="333333"/>
                <w:lang w:val="uk-UA" w:eastAsia="uk-UA"/>
              </w:rPr>
              <w:t>та</w:t>
            </w:r>
            <w:r w:rsidRPr="00651FFF">
              <w:rPr>
                <w:color w:val="333333"/>
                <w:lang w:val="uk-UA" w:eastAsia="uk-UA"/>
              </w:rPr>
              <w:t xml:space="preserve"> </w:t>
            </w:r>
            <w:r w:rsidRPr="00E73150">
              <w:rPr>
                <w:color w:val="333333"/>
                <w:lang w:val="uk-UA" w:eastAsia="uk-UA"/>
              </w:rPr>
              <w:t>бути ремонтопридатними у разі необхідності заміни через пошкодження.</w:t>
            </w:r>
          </w:p>
          <w:p w14:paraId="53F7EEE3" w14:textId="2513FAA8" w:rsidR="00E365DD" w:rsidRPr="00E73150" w:rsidRDefault="00E365DD" w:rsidP="00E365DD">
            <w:pPr>
              <w:shd w:val="clear" w:color="auto" w:fill="FCFEFF"/>
              <w:jc w:val="both"/>
              <w:textAlignment w:val="baseline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</w:t>
            </w:r>
            <w:r w:rsidRPr="00E73150">
              <w:rPr>
                <w:color w:val="333333"/>
                <w:lang w:val="uk-UA" w:eastAsia="uk-UA"/>
              </w:rPr>
              <w:t>Сталеве армування метало-пластикових конструкцій повинно відповідати статичним розрахункам та документації розробника профільної системи та має відповідати вимогам 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ДСТУ Б В.2.6-15:2011 п. 5.3.1.2.1</w:t>
            </w:r>
            <w:r w:rsidRPr="00E73150">
              <w:rPr>
                <w:color w:val="333333"/>
                <w:lang w:val="uk-UA" w:eastAsia="uk-UA"/>
              </w:rPr>
              <w:t> </w:t>
            </w:r>
            <w:r w:rsidRPr="00E73150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– застосування елементів жорсткості номінальна товщина яких менше ніж 1,5 мм не допускається</w:t>
            </w:r>
            <w:r w:rsidRPr="00E73150">
              <w:rPr>
                <w:color w:val="333333"/>
                <w:lang w:val="uk-UA" w:eastAsia="uk-UA"/>
              </w:rPr>
              <w:t>. Фактична ж товщина армуючого профілю може відрізнятися в менший бік від номінальної на розмір нижнього поля допуску, що вказаний у сортаменті на відповідну марку сталі.</w:t>
            </w:r>
          </w:p>
          <w:p w14:paraId="1912A3E5" w14:textId="1CD523C6" w:rsidR="00E365DD" w:rsidRDefault="00E365DD" w:rsidP="00E365DD">
            <w:pPr>
              <w:shd w:val="clear" w:color="auto" w:fill="FCFEFF"/>
              <w:jc w:val="both"/>
              <w:textAlignment w:val="baseline"/>
              <w:rPr>
                <w:lang w:val="uk-UA"/>
              </w:rPr>
            </w:pPr>
            <w:r>
              <w:rPr>
                <w:color w:val="333333"/>
                <w:lang w:val="uk-UA" w:eastAsia="uk-UA"/>
              </w:rPr>
              <w:t xml:space="preserve">       </w:t>
            </w:r>
            <w:r w:rsidRPr="00870066">
              <w:rPr>
                <w:color w:val="333333"/>
                <w:lang w:val="uk-UA" w:eastAsia="uk-UA"/>
              </w:rPr>
              <w:t>Склопакети мають відповідати вимогам </w:t>
            </w:r>
            <w:r w:rsidRPr="00870066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ДСТУ Б  EN1279 Частини 1-6 :2013 «Скло для будівництва. Склопакети».</w:t>
            </w:r>
            <w:r w:rsidRPr="00870066">
              <w:rPr>
                <w:color w:val="333333"/>
                <w:lang w:val="uk-UA" w:eastAsia="uk-UA"/>
              </w:rPr>
              <w:t> Вибір товщини та типу скла має здійснюватися на підставі вимог </w:t>
            </w:r>
            <w:r w:rsidRPr="00870066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ДСТУ-Н Б В.2.6-83:2009 «Настанова з проектування світлопрозорих елементів огороджувальних конструкцій»</w:t>
            </w:r>
            <w:r w:rsidRPr="00870066">
              <w:rPr>
                <w:color w:val="333333"/>
                <w:lang w:val="uk-UA" w:eastAsia="uk-UA"/>
              </w:rPr>
              <w:t xml:space="preserve">. Застосування скла товщиною </w:t>
            </w:r>
            <w:r w:rsidRPr="00651FFF">
              <w:rPr>
                <w:b/>
                <w:bCs/>
                <w:color w:val="333333"/>
                <w:lang w:val="uk-UA" w:eastAsia="uk-UA"/>
              </w:rPr>
              <w:t>менше ніж 4 мм</w:t>
            </w:r>
            <w:r w:rsidRPr="00870066">
              <w:rPr>
                <w:color w:val="333333"/>
                <w:lang w:val="uk-UA" w:eastAsia="uk-UA"/>
              </w:rPr>
              <w:t xml:space="preserve"> не допускається. Застосування скла класу менше ніж М1 відповідно до</w:t>
            </w:r>
            <w:r w:rsidRPr="00870066">
              <w:rPr>
                <w:b/>
                <w:bCs/>
                <w:color w:val="333333"/>
                <w:bdr w:val="none" w:sz="0" w:space="0" w:color="auto" w:frame="1"/>
                <w:lang w:val="uk-UA" w:eastAsia="uk-UA"/>
              </w:rPr>
              <w:t> ДСТУ Б В.2.7-122:2009 </w:t>
            </w:r>
            <w:r w:rsidRPr="00870066">
              <w:rPr>
                <w:color w:val="333333"/>
                <w:lang w:val="uk-UA" w:eastAsia="uk-UA"/>
              </w:rPr>
              <w:t xml:space="preserve">не допускається. </w:t>
            </w:r>
          </w:p>
          <w:p w14:paraId="68FBD26E" w14:textId="3BA16B44" w:rsidR="00591775" w:rsidRPr="00FF3190" w:rsidRDefault="00591775" w:rsidP="00E365DD">
            <w:pPr>
              <w:pStyle w:val="31"/>
              <w:spacing w:after="0"/>
              <w:ind w:left="0" w:firstLine="709"/>
              <w:jc w:val="both"/>
            </w:pPr>
          </w:p>
        </w:tc>
      </w:tr>
      <w:tr w:rsidR="00591775" w:rsidRPr="0024616D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75AAB004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– </w:t>
            </w:r>
            <w:r w:rsidR="00E365DD">
              <w:rPr>
                <w:shd w:val="clear" w:color="auto" w:fill="FFFFFF"/>
                <w:lang w:val="uk-UA"/>
              </w:rPr>
              <w:t>97</w:t>
            </w:r>
            <w:r w:rsidR="00FF3190">
              <w:rPr>
                <w:shd w:val="clear" w:color="auto" w:fill="FFFFFF"/>
                <w:lang w:val="uk-UA"/>
              </w:rPr>
              <w:t xml:space="preserve"> </w:t>
            </w:r>
            <w:r w:rsidR="00E365DD">
              <w:rPr>
                <w:shd w:val="clear" w:color="auto" w:fill="FFFFFF"/>
                <w:lang w:val="uk-UA"/>
              </w:rPr>
              <w:t>470</w:t>
            </w:r>
            <w:r w:rsidR="00635824">
              <w:rPr>
                <w:shd w:val="clear" w:color="auto" w:fill="FFFFFF"/>
                <w:lang w:val="uk-UA"/>
              </w:rPr>
              <w:t>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0AF93D92" w14:textId="020A8D04" w:rsidR="00591775" w:rsidRDefault="008B37CC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 w:rsidRPr="00FF3190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FF3190" w:rsidRPr="00FF3190">
              <w:rPr>
                <w:shd w:val="clear" w:color="auto" w:fill="FFFFFF"/>
                <w:lang w:val="uk-UA"/>
              </w:rPr>
              <w:t xml:space="preserve">розрахована управлінням капітального будівництва виконавчого комітету Славутської міської ради на підставі фактичної потреби </w:t>
            </w:r>
            <w:r w:rsidR="00E365DD">
              <w:rPr>
                <w:shd w:val="clear" w:color="auto" w:fill="FFFFFF"/>
                <w:lang w:val="uk-UA"/>
              </w:rPr>
              <w:t xml:space="preserve">та орієнтовної вартості виготовлення віконних конструкцій – за даними відповідних інтернет-магазинів. </w:t>
            </w:r>
          </w:p>
          <w:p w14:paraId="4527D6DD" w14:textId="416FA7A1" w:rsidR="00CD2697" w:rsidRPr="00591775" w:rsidRDefault="00CD2697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lastRenderedPageBreak/>
              <w:t xml:space="preserve">Підстава – службова записка начальника управління капітального будівництва Н.Яковчук від </w:t>
            </w:r>
            <w:r w:rsidR="00E365DD">
              <w:rPr>
                <w:shd w:val="clear" w:color="auto" w:fill="FFFFFF"/>
                <w:lang w:val="uk-UA"/>
              </w:rPr>
              <w:t>23</w:t>
            </w:r>
            <w:r>
              <w:rPr>
                <w:shd w:val="clear" w:color="auto" w:fill="FFFFFF"/>
                <w:lang w:val="uk-UA"/>
              </w:rPr>
              <w:t>.</w:t>
            </w:r>
            <w:r w:rsidR="00FF3190">
              <w:rPr>
                <w:shd w:val="clear" w:color="auto" w:fill="FFFFFF"/>
                <w:lang w:val="uk-UA"/>
              </w:rPr>
              <w:t>03</w:t>
            </w:r>
            <w:r>
              <w:rPr>
                <w:shd w:val="clear" w:color="auto" w:fill="FFFFFF"/>
                <w:lang w:val="uk-UA"/>
              </w:rPr>
              <w:t>.2021р.</w:t>
            </w:r>
          </w:p>
        </w:tc>
      </w:tr>
    </w:tbl>
    <w:p w14:paraId="0254E810" w14:textId="77777777" w:rsidR="00A11B79" w:rsidRDefault="00A11B79"/>
    <w:sectPr w:rsidR="00A11B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013D05"/>
    <w:rsid w:val="00401F02"/>
    <w:rsid w:val="00574991"/>
    <w:rsid w:val="00591775"/>
    <w:rsid w:val="00635824"/>
    <w:rsid w:val="007E082E"/>
    <w:rsid w:val="008B37CC"/>
    <w:rsid w:val="00A11B79"/>
    <w:rsid w:val="00A734F9"/>
    <w:rsid w:val="00B97044"/>
    <w:rsid w:val="00CD2697"/>
    <w:rsid w:val="00D44B56"/>
    <w:rsid w:val="00E365DD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ий текст з відступом 31"/>
    <w:basedOn w:val="a"/>
    <w:rsid w:val="00635824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3-25-00741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4294191393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cp:lastPrinted>2021-07-09T07:10:00Z</cp:lastPrinted>
  <dcterms:created xsi:type="dcterms:W3CDTF">2020-07-08T11:35:00Z</dcterms:created>
  <dcterms:modified xsi:type="dcterms:W3CDTF">2021-03-26T09:29:00Z</dcterms:modified>
</cp:coreProperties>
</file>